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D949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5EEA7A7E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646A1DB8" w14:textId="31BBD6F5" w:rsidR="008C1738" w:rsidRPr="00DA30AD" w:rsidRDefault="00163DEF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This policy complies with Utah’s Workers’ Compensation Act, Utah’s Occupational Disease Act</w:t>
      </w:r>
      <w:r w:rsidR="004742FA">
        <w:rPr>
          <w:rFonts w:asciiTheme="minorHAnsi" w:hAnsiTheme="minorHAnsi" w:cstheme="minorHAnsi"/>
          <w:bCs/>
        </w:rPr>
        <w:t>, and Utah’s</w:t>
      </w:r>
      <w:r>
        <w:rPr>
          <w:rFonts w:asciiTheme="minorHAnsi" w:hAnsiTheme="minorHAnsi" w:cstheme="minorHAnsi"/>
          <w:bCs/>
        </w:rPr>
        <w:t xml:space="preserve"> Volunteer Government Workers Act.</w:t>
      </w:r>
    </w:p>
    <w:p w14:paraId="560315E7" w14:textId="77777777" w:rsidR="008C1738" w:rsidRPr="00DA30AD" w:rsidRDefault="008C1738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4F6C14A3" w14:textId="77777777" w:rsidR="008C1738" w:rsidRPr="00DA30AD" w:rsidRDefault="008C1738" w:rsidP="004C2E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00608344" w14:textId="77777777" w:rsidR="008C1738" w:rsidRPr="00DA30AD" w:rsidRDefault="008C1738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1987736" w14:textId="6E60445D" w:rsidR="008C1738" w:rsidRPr="00DA30AD" w:rsidRDefault="009C3F72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Weber County provides </w:t>
      </w:r>
      <w:r w:rsidR="00163DEF">
        <w:rPr>
          <w:rFonts w:asciiTheme="minorHAnsi" w:hAnsiTheme="minorHAnsi" w:cstheme="minorHAnsi"/>
          <w:bCs/>
        </w:rPr>
        <w:t>workers’ compensation coverage for all employees, interns and volunteers injured on the job</w:t>
      </w:r>
      <w:r w:rsidR="00B36835">
        <w:rPr>
          <w:rFonts w:asciiTheme="minorHAnsi" w:hAnsiTheme="minorHAnsi" w:cstheme="minorHAnsi"/>
          <w:bCs/>
        </w:rPr>
        <w:t>, unless they are excluded from coverage under state law</w:t>
      </w:r>
      <w:r w:rsidR="00163DEF">
        <w:rPr>
          <w:rFonts w:asciiTheme="minorHAnsi" w:hAnsiTheme="minorHAnsi" w:cstheme="minorHAnsi"/>
          <w:bCs/>
        </w:rPr>
        <w:t>.</w:t>
      </w:r>
    </w:p>
    <w:p w14:paraId="21220C3E" w14:textId="77777777" w:rsidR="006D6BA5" w:rsidRPr="00DA30AD" w:rsidRDefault="006D6BA5" w:rsidP="004C2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23C5C28" w14:textId="3CA555CD" w:rsidR="006D6BA5" w:rsidRDefault="006D6BA5" w:rsidP="004C2E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DD96C92" w14:textId="77777777" w:rsidR="00806236" w:rsidRPr="00DA30AD" w:rsidRDefault="00806236" w:rsidP="008062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E125332" w14:textId="33360FED" w:rsidR="006D6BA5" w:rsidRPr="00806236" w:rsidRDefault="00163DEF" w:rsidP="004C2E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06236">
        <w:rPr>
          <w:rFonts w:asciiTheme="minorHAnsi" w:hAnsiTheme="minorHAnsi" w:cstheme="minorHAnsi"/>
          <w:b/>
        </w:rPr>
        <w:t>Workers’ Compensation Benefits</w:t>
      </w:r>
    </w:p>
    <w:p w14:paraId="000E99E8" w14:textId="77777777" w:rsidR="00F317DF" w:rsidRPr="00C05733" w:rsidRDefault="00F317DF" w:rsidP="004C2EA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</w:rPr>
      </w:pPr>
    </w:p>
    <w:p w14:paraId="4B330C9B" w14:textId="3A692DF1" w:rsidR="008C1738" w:rsidRPr="00340098" w:rsidRDefault="00163DEF" w:rsidP="004C2EAA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340098">
        <w:rPr>
          <w:rFonts w:asciiTheme="minorHAnsi" w:hAnsiTheme="minorHAnsi" w:cstheme="minorHAnsi"/>
        </w:rPr>
        <w:t>Reporting</w:t>
      </w:r>
    </w:p>
    <w:p w14:paraId="0077806A" w14:textId="77777777" w:rsidR="00F317DF" w:rsidRPr="00C05733" w:rsidRDefault="00F317DF" w:rsidP="004C2EA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/>
        </w:rPr>
      </w:pPr>
    </w:p>
    <w:p w14:paraId="3ABCDAC0" w14:textId="62F974C7" w:rsidR="00C74284" w:rsidRDefault="006F679C" w:rsidP="004C2EAA">
      <w:pPr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the injury or illness to your supervisor immediately.  If you fail to report an injury or illness within 180 days, you may be disqualified from receiving workers’ compensation benefits.</w:t>
      </w:r>
    </w:p>
    <w:p w14:paraId="5BDF866C" w14:textId="4FB1D9BC" w:rsidR="0048761F" w:rsidRDefault="0048761F" w:rsidP="0048761F">
      <w:pPr>
        <w:numPr>
          <w:ilvl w:val="2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Employee must fill out </w:t>
      </w:r>
      <w:r w:rsidRPr="0048761F">
        <w:rPr>
          <w:rFonts w:asciiTheme="minorHAnsi" w:hAnsiTheme="minorHAnsi" w:cstheme="minorHAnsi"/>
          <w:b/>
          <w:u w:val="single"/>
        </w:rPr>
        <w:t>First Report of Incident</w:t>
      </w:r>
      <w:r>
        <w:rPr>
          <w:rFonts w:asciiTheme="minorHAnsi" w:hAnsiTheme="minorHAnsi" w:cstheme="minorHAnsi"/>
        </w:rPr>
        <w:t xml:space="preserve"> </w:t>
      </w:r>
    </w:p>
    <w:p w14:paraId="2F73ECA0" w14:textId="0B26BC96" w:rsidR="00DA30AD" w:rsidRDefault="00651097" w:rsidP="00163DEF">
      <w:pPr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 employee dies or incurs a disabling injury:</w:t>
      </w:r>
    </w:p>
    <w:p w14:paraId="681D81D5" w14:textId="1AB83AE7" w:rsidR="00651097" w:rsidRDefault="00651097" w:rsidP="00651097">
      <w:pPr>
        <w:numPr>
          <w:ilvl w:val="2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supervisor must immediately contact the Risk Manager.</w:t>
      </w:r>
    </w:p>
    <w:p w14:paraId="28B8827E" w14:textId="39E60ABE" w:rsidR="00651097" w:rsidRDefault="00651097" w:rsidP="00651097">
      <w:pPr>
        <w:numPr>
          <w:ilvl w:val="2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Risk Manager must contact the </w:t>
      </w:r>
      <w:r w:rsidR="00555993" w:rsidRPr="00555993">
        <w:rPr>
          <w:rFonts w:asciiTheme="minorHAnsi" w:hAnsiTheme="minorHAnsi" w:cstheme="minorHAnsi"/>
        </w:rPr>
        <w:t>Division of Occupational Safety and Health</w:t>
      </w:r>
      <w:r>
        <w:rPr>
          <w:rFonts w:asciiTheme="minorHAnsi" w:hAnsiTheme="minorHAnsi" w:cstheme="minorHAnsi"/>
        </w:rPr>
        <w:t xml:space="preserve"> of the Utah Labor Commission within </w:t>
      </w:r>
      <w:r w:rsidR="00555993">
        <w:rPr>
          <w:rFonts w:asciiTheme="minorHAnsi" w:hAnsiTheme="minorHAnsi" w:cstheme="minorHAnsi"/>
        </w:rPr>
        <w:t xml:space="preserve">eight </w:t>
      </w:r>
      <w:r>
        <w:rPr>
          <w:rFonts w:asciiTheme="minorHAnsi" w:hAnsiTheme="minorHAnsi" w:cstheme="minorHAnsi"/>
        </w:rPr>
        <w:t xml:space="preserve">hours </w:t>
      </w:r>
      <w:r w:rsidR="00555993">
        <w:rPr>
          <w:rFonts w:asciiTheme="minorHAnsi" w:hAnsiTheme="minorHAnsi" w:cstheme="minorHAnsi"/>
        </w:rPr>
        <w:t>after the incident occurs</w:t>
      </w:r>
      <w:r>
        <w:rPr>
          <w:rFonts w:asciiTheme="minorHAnsi" w:hAnsiTheme="minorHAnsi" w:cstheme="minorHAnsi"/>
        </w:rPr>
        <w:t>.</w:t>
      </w:r>
    </w:p>
    <w:p w14:paraId="0D49743E" w14:textId="61919B6C" w:rsidR="00F317DF" w:rsidRDefault="00693B86" w:rsidP="004C2EAA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twenty-four (24) hours of being notified of any injury, an administrator, supervisor or designee must:</w:t>
      </w:r>
    </w:p>
    <w:p w14:paraId="2A0469AF" w14:textId="67871EE5" w:rsidR="00693B86" w:rsidRDefault="00693B86" w:rsidP="00693B86">
      <w:pPr>
        <w:pStyle w:val="ListParagraph"/>
        <w:numPr>
          <w:ilvl w:val="2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Employer’</w:t>
      </w:r>
      <w:r w:rsidR="00854F46">
        <w:rPr>
          <w:rFonts w:asciiTheme="minorHAnsi" w:hAnsiTheme="minorHAnsi" w:cstheme="minorHAnsi"/>
        </w:rPr>
        <w:t xml:space="preserve">s </w:t>
      </w:r>
      <w:r w:rsidR="00854F46" w:rsidRPr="0048761F">
        <w:rPr>
          <w:rFonts w:asciiTheme="minorHAnsi" w:hAnsiTheme="minorHAnsi" w:cstheme="minorHAnsi"/>
          <w:b/>
          <w:u w:val="single"/>
        </w:rPr>
        <w:t>Accident Investigation Report</w:t>
      </w:r>
      <w:r w:rsidR="00854F46">
        <w:rPr>
          <w:rFonts w:asciiTheme="minorHAnsi" w:hAnsiTheme="minorHAnsi" w:cstheme="minorHAnsi"/>
        </w:rPr>
        <w:t xml:space="preserve"> (Supervisor Form).</w:t>
      </w:r>
    </w:p>
    <w:p w14:paraId="652FC8D3" w14:textId="46703B60" w:rsidR="0048761F" w:rsidRPr="0048761F" w:rsidRDefault="0048761F" w:rsidP="0048761F">
      <w:pPr>
        <w:pStyle w:val="ListParagraph"/>
        <w:numPr>
          <w:ilvl w:val="2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 a copy of the completed form to the injured employee.</w:t>
      </w:r>
    </w:p>
    <w:p w14:paraId="55FD3840" w14:textId="26E99A77" w:rsidR="007701F0" w:rsidRDefault="0048761F" w:rsidP="004C2EAA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employee injured on the job will be paid for the scheduled hours missed on the day of the accident.</w:t>
      </w:r>
    </w:p>
    <w:p w14:paraId="54DCE1FF" w14:textId="77777777" w:rsidR="007701F0" w:rsidRPr="00A336AC" w:rsidRDefault="007701F0" w:rsidP="00A336A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38D6E887" w14:textId="456725B0" w:rsidR="00DA30AD" w:rsidRPr="00340098" w:rsidRDefault="00A336AC" w:rsidP="004C2EAA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340098">
        <w:rPr>
          <w:rFonts w:asciiTheme="minorHAnsi" w:hAnsiTheme="minorHAnsi" w:cstheme="minorHAnsi"/>
        </w:rPr>
        <w:t>Access to Medical Services</w:t>
      </w:r>
    </w:p>
    <w:p w14:paraId="27A3444F" w14:textId="77777777" w:rsidR="00F317DF" w:rsidRPr="00C05733" w:rsidRDefault="00F317DF" w:rsidP="004C2EAA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/>
        </w:rPr>
      </w:pPr>
    </w:p>
    <w:p w14:paraId="44FBD85B" w14:textId="4936EDF8" w:rsidR="00073FD2" w:rsidRPr="00073FD2" w:rsidRDefault="00A63AD2" w:rsidP="00073FD2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County designates its</w:t>
      </w:r>
      <w:r w:rsidR="00A949BF">
        <w:rPr>
          <w:rFonts w:asciiTheme="minorHAnsi" w:hAnsiTheme="minorHAnsi" w:cstheme="minorHAnsi"/>
        </w:rPr>
        <w:t xml:space="preserve"> contract</w:t>
      </w:r>
      <w:r w:rsidR="00073FD2">
        <w:rPr>
          <w:rFonts w:asciiTheme="minorHAnsi" w:hAnsiTheme="minorHAnsi" w:cstheme="minorHAnsi"/>
        </w:rPr>
        <w:t>ed occupational medicine clinic</w:t>
      </w:r>
      <w:r>
        <w:rPr>
          <w:rFonts w:asciiTheme="minorHAnsi" w:hAnsiTheme="minorHAnsi" w:cstheme="minorHAnsi"/>
        </w:rPr>
        <w:t xml:space="preserve"> to be its preferred provider for injured workers</w:t>
      </w:r>
      <w:bookmarkStart w:id="0" w:name="_GoBack"/>
      <w:bookmarkEnd w:id="0"/>
      <w:r>
        <w:rPr>
          <w:rFonts w:asciiTheme="minorHAnsi" w:hAnsiTheme="minorHAnsi" w:cstheme="minorHAnsi"/>
        </w:rPr>
        <w:t>.  This clinic is</w:t>
      </w:r>
      <w:r w:rsidR="00073FD2">
        <w:rPr>
          <w:rFonts w:asciiTheme="minorHAnsi" w:hAnsiTheme="minorHAnsi" w:cstheme="minorHAnsi"/>
        </w:rPr>
        <w:t xml:space="preserve"> WorkMed, 1355 W. 3400 S., Ogden, UT 84401.</w:t>
      </w:r>
      <w:r>
        <w:rPr>
          <w:rFonts w:asciiTheme="minorHAnsi" w:hAnsiTheme="minorHAnsi" w:cstheme="minorHAnsi"/>
        </w:rPr>
        <w:t xml:space="preserve">  Except in cases of life- or limb-threatening injuries and/or after hours, an injured employee </w:t>
      </w:r>
      <w:r w:rsidR="00727F94">
        <w:rPr>
          <w:rFonts w:asciiTheme="minorHAnsi" w:hAnsiTheme="minorHAnsi" w:cstheme="minorHAnsi"/>
        </w:rPr>
        <w:t xml:space="preserve">should </w:t>
      </w:r>
      <w:r>
        <w:rPr>
          <w:rFonts w:asciiTheme="minorHAnsi" w:hAnsiTheme="minorHAnsi" w:cstheme="minorHAnsi"/>
        </w:rPr>
        <w:t>seek initial medical care through th</w:t>
      </w:r>
      <w:r w:rsidR="0094727A">
        <w:rPr>
          <w:rFonts w:asciiTheme="minorHAnsi" w:hAnsiTheme="minorHAnsi" w:cstheme="minorHAnsi"/>
        </w:rPr>
        <w:t>is preferred provider</w:t>
      </w:r>
      <w:r>
        <w:rPr>
          <w:rFonts w:asciiTheme="minorHAnsi" w:hAnsiTheme="minorHAnsi" w:cstheme="minorHAnsi"/>
        </w:rPr>
        <w:t>.</w:t>
      </w:r>
      <w:r w:rsidR="0094727A">
        <w:rPr>
          <w:rFonts w:asciiTheme="minorHAnsi" w:hAnsiTheme="minorHAnsi" w:cstheme="minorHAnsi"/>
        </w:rPr>
        <w:t xml:space="preserve">  </w:t>
      </w:r>
      <w:r w:rsidR="0094727A" w:rsidRPr="0094727A">
        <w:rPr>
          <w:rFonts w:asciiTheme="minorHAnsi" w:hAnsiTheme="minorHAnsi" w:cstheme="minorHAnsi"/>
        </w:rPr>
        <w:t xml:space="preserve"> </w:t>
      </w:r>
      <w:r w:rsidR="00727F94">
        <w:rPr>
          <w:rFonts w:asciiTheme="minorHAnsi" w:hAnsiTheme="minorHAnsi" w:cstheme="minorHAnsi"/>
        </w:rPr>
        <w:t xml:space="preserve">In the event that the employee prefers not to use WorkMed, they may report to McKay Dee Hospital, 4401 Harrison Blvd., Ogden, UT 84403.  </w:t>
      </w:r>
      <w:r w:rsidR="0094727A">
        <w:rPr>
          <w:rFonts w:asciiTheme="minorHAnsi" w:hAnsiTheme="minorHAnsi" w:cstheme="minorHAnsi"/>
        </w:rPr>
        <w:t>In case of life- or limb-threatening injuries and/or after hours, initial care may be provided at any appropriate medical facility.</w:t>
      </w:r>
    </w:p>
    <w:p w14:paraId="6E6F5297" w14:textId="426028F3" w:rsidR="00A949BF" w:rsidRDefault="0094727A" w:rsidP="00A949BF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4727A">
        <w:rPr>
          <w:rFonts w:asciiTheme="minorHAnsi" w:hAnsiTheme="minorHAnsi" w:cstheme="minorHAnsi"/>
        </w:rPr>
        <w:lastRenderedPageBreak/>
        <w:t xml:space="preserve">After an injured worker has received initial care from </w:t>
      </w:r>
      <w:r>
        <w:rPr>
          <w:rFonts w:asciiTheme="minorHAnsi" w:hAnsiTheme="minorHAnsi" w:cstheme="minorHAnsi"/>
        </w:rPr>
        <w:t>the</w:t>
      </w:r>
      <w:r w:rsidRPr="0094727A">
        <w:rPr>
          <w:rFonts w:asciiTheme="minorHAnsi" w:hAnsiTheme="minorHAnsi" w:cstheme="minorHAnsi"/>
        </w:rPr>
        <w:t xml:space="preserve"> preferred provider, the injured worker may obtain subsequent medical care from a qualified provider of his or her choice.</w:t>
      </w:r>
    </w:p>
    <w:p w14:paraId="0B14B11B" w14:textId="63DA0652" w:rsidR="00A949BF" w:rsidRDefault="00A949BF" w:rsidP="00A949BF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Employees may make one change of doctor </w:t>
      </w:r>
      <w:r w:rsidR="001A3C1D">
        <w:rPr>
          <w:rFonts w:asciiTheme="minorHAnsi" w:hAnsiTheme="minorHAnsi" w:cstheme="minorHAnsi"/>
        </w:rPr>
        <w:t xml:space="preserve">without prior approval, </w:t>
      </w:r>
      <w:r>
        <w:rPr>
          <w:rFonts w:asciiTheme="minorHAnsi" w:hAnsiTheme="minorHAnsi" w:cstheme="minorHAnsi"/>
        </w:rPr>
        <w:t>by completing an application to change doctors, and submitting the form to Worker Compensation Fund.</w:t>
      </w:r>
      <w:r w:rsidR="001A3C1D">
        <w:rPr>
          <w:rFonts w:asciiTheme="minorHAnsi" w:hAnsiTheme="minorHAnsi" w:cstheme="minorHAnsi"/>
        </w:rPr>
        <w:t xml:space="preserve">  Subsequent changes must be pre-approved.</w:t>
      </w:r>
    </w:p>
    <w:p w14:paraId="11199C56" w14:textId="77777777" w:rsidR="00F30669" w:rsidRPr="00A949BF" w:rsidRDefault="00F30669" w:rsidP="00F30669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296DD982" w14:textId="7F91D795" w:rsidR="0027298E" w:rsidRDefault="00F30669" w:rsidP="004C2EAA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340098">
        <w:rPr>
          <w:rFonts w:asciiTheme="minorHAnsi" w:hAnsiTheme="minorHAnsi" w:cstheme="minorHAnsi"/>
        </w:rPr>
        <w:t>If an employee is injured on the job or suffers from a qualifying occupational disease, Workers’ Compensation will pay</w:t>
      </w:r>
      <w:r w:rsidR="0094727A">
        <w:rPr>
          <w:rFonts w:asciiTheme="minorHAnsi" w:hAnsiTheme="minorHAnsi" w:cstheme="minorHAnsi"/>
        </w:rPr>
        <w:t xml:space="preserve"> the employee or the employee’s family for the following items, subject to statutory limits and requirements</w:t>
      </w:r>
      <w:r w:rsidRPr="00340098">
        <w:rPr>
          <w:rFonts w:asciiTheme="minorHAnsi" w:hAnsiTheme="minorHAnsi" w:cstheme="minorHAnsi"/>
        </w:rPr>
        <w:t>:</w:t>
      </w:r>
    </w:p>
    <w:p w14:paraId="3F79D44E" w14:textId="77777777" w:rsidR="003A0728" w:rsidRPr="00340098" w:rsidRDefault="003A0728" w:rsidP="003A072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10A2F0A8" w14:textId="417ECBD8" w:rsidR="00F30669" w:rsidRPr="00F30669" w:rsidRDefault="00F30669" w:rsidP="00F30669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F30669">
        <w:rPr>
          <w:rFonts w:asciiTheme="minorHAnsi" w:hAnsiTheme="minorHAnsi" w:cstheme="minorHAnsi"/>
        </w:rPr>
        <w:t>ospital and medical bills</w:t>
      </w:r>
    </w:p>
    <w:p w14:paraId="10DADEB1" w14:textId="2297470C" w:rsidR="00F30669" w:rsidRPr="00F30669" w:rsidRDefault="00F30669" w:rsidP="00F30669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30669">
        <w:rPr>
          <w:rFonts w:asciiTheme="minorHAnsi" w:hAnsiTheme="minorHAnsi" w:cstheme="minorHAnsi"/>
        </w:rPr>
        <w:t>time lost from work</w:t>
      </w:r>
    </w:p>
    <w:p w14:paraId="5C40C179" w14:textId="6BB915B5" w:rsidR="00F30669" w:rsidRPr="00F30669" w:rsidRDefault="00F30669" w:rsidP="00F30669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30669">
        <w:rPr>
          <w:rFonts w:asciiTheme="minorHAnsi" w:hAnsiTheme="minorHAnsi" w:cstheme="minorHAnsi"/>
        </w:rPr>
        <w:t>a permanent loss of body functions</w:t>
      </w:r>
    </w:p>
    <w:p w14:paraId="166DF904" w14:textId="7DBF55C1" w:rsidR="00F30669" w:rsidRPr="00F30669" w:rsidRDefault="00F30669" w:rsidP="00F30669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30669">
        <w:rPr>
          <w:rFonts w:asciiTheme="minorHAnsi" w:hAnsiTheme="minorHAnsi" w:cstheme="minorHAnsi"/>
        </w:rPr>
        <w:t>artificial appliances</w:t>
      </w:r>
    </w:p>
    <w:p w14:paraId="5562C73F" w14:textId="4646B3FA" w:rsidR="00340098" w:rsidRDefault="00F30669" w:rsidP="00340098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3066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</w:t>
      </w:r>
      <w:r w:rsidRPr="00F30669">
        <w:rPr>
          <w:rFonts w:asciiTheme="minorHAnsi" w:hAnsiTheme="minorHAnsi" w:cstheme="minorHAnsi"/>
        </w:rPr>
        <w:t>ath and burial benefits</w:t>
      </w:r>
    </w:p>
    <w:p w14:paraId="0D50D7BC" w14:textId="77777777" w:rsidR="00340098" w:rsidRDefault="00340098" w:rsidP="0034009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4287277A" w14:textId="557CE433" w:rsidR="00340098" w:rsidRDefault="00340098" w:rsidP="00340098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Wage Replacement Payments</w:t>
      </w:r>
    </w:p>
    <w:p w14:paraId="334B6300" w14:textId="77777777" w:rsidR="003A0728" w:rsidRDefault="003A0728" w:rsidP="003A072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000D042B" w14:textId="5B43EB51" w:rsidR="00340098" w:rsidRDefault="00167DA4" w:rsidP="00340098">
      <w:pPr>
        <w:pStyle w:val="ListParagraph"/>
        <w:numPr>
          <w:ilvl w:val="1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</w:t>
      </w:r>
      <w:r w:rsidR="00340098">
        <w:rPr>
          <w:rFonts w:asciiTheme="minorHAnsi" w:hAnsiTheme="minorHAnsi" w:cstheme="minorHAnsi"/>
        </w:rPr>
        <w:t>mployee with a medical release from work will receive wage replacement in the following manner according to Utah Workers</w:t>
      </w:r>
      <w:r>
        <w:rPr>
          <w:rFonts w:asciiTheme="minorHAnsi" w:hAnsiTheme="minorHAnsi" w:cstheme="minorHAnsi"/>
        </w:rPr>
        <w:t>’</w:t>
      </w:r>
      <w:r w:rsidR="00340098">
        <w:rPr>
          <w:rFonts w:asciiTheme="minorHAnsi" w:hAnsiTheme="minorHAnsi" w:cstheme="minorHAnsi"/>
        </w:rPr>
        <w:t xml:space="preserve"> Comp</w:t>
      </w:r>
      <w:r>
        <w:rPr>
          <w:rFonts w:asciiTheme="minorHAnsi" w:hAnsiTheme="minorHAnsi" w:cstheme="minorHAnsi"/>
        </w:rPr>
        <w:t>ensation</w:t>
      </w:r>
      <w:r w:rsidR="00340098">
        <w:rPr>
          <w:rFonts w:asciiTheme="minorHAnsi" w:hAnsiTheme="minorHAnsi" w:cstheme="minorHAnsi"/>
        </w:rPr>
        <w:t xml:space="preserve"> Law:</w:t>
      </w:r>
    </w:p>
    <w:p w14:paraId="67CF627E" w14:textId="77777777" w:rsidR="00340098" w:rsidRDefault="00340098" w:rsidP="0034009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65"/>
        <w:gridCol w:w="4405"/>
      </w:tblGrid>
      <w:tr w:rsidR="00340098" w14:paraId="059A4FD3" w14:textId="77777777" w:rsidTr="002A2BEB">
        <w:tc>
          <w:tcPr>
            <w:tcW w:w="3865" w:type="dxa"/>
          </w:tcPr>
          <w:p w14:paraId="76EECEEB" w14:textId="15EBA8F1" w:rsidR="00340098" w:rsidRP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40098">
              <w:rPr>
                <w:rFonts w:asciiTheme="minorHAnsi" w:hAnsiTheme="minorHAnsi" w:cstheme="minorHAnsi"/>
                <w:b/>
              </w:rPr>
              <w:t>Medical Release from Work</w:t>
            </w:r>
          </w:p>
        </w:tc>
        <w:tc>
          <w:tcPr>
            <w:tcW w:w="4405" w:type="dxa"/>
          </w:tcPr>
          <w:p w14:paraId="42850EEC" w14:textId="1BC7C37D" w:rsidR="00340098" w:rsidRPr="00340098" w:rsidRDefault="002A2BEB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Payments by Workers Compensation</w:t>
            </w:r>
          </w:p>
        </w:tc>
      </w:tr>
      <w:tr w:rsidR="00340098" w14:paraId="35E5FD8E" w14:textId="77777777" w:rsidTr="002A2BEB">
        <w:trPr>
          <w:trHeight w:val="530"/>
        </w:trPr>
        <w:tc>
          <w:tcPr>
            <w:tcW w:w="3865" w:type="dxa"/>
          </w:tcPr>
          <w:p w14:paraId="691CB796" w14:textId="77777777" w:rsid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BF50E33" w14:textId="41B598E8" w:rsid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of Injury</w:t>
            </w:r>
          </w:p>
        </w:tc>
        <w:tc>
          <w:tcPr>
            <w:tcW w:w="4405" w:type="dxa"/>
          </w:tcPr>
          <w:p w14:paraId="762DE93B" w14:textId="77777777" w:rsid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32E6503" w14:textId="470D4EAB" w:rsid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Treated as a work day</w:t>
            </w:r>
          </w:p>
        </w:tc>
      </w:tr>
      <w:tr w:rsidR="00340098" w14:paraId="74B9903B" w14:textId="77777777" w:rsidTr="002A2BEB">
        <w:tc>
          <w:tcPr>
            <w:tcW w:w="3865" w:type="dxa"/>
          </w:tcPr>
          <w:p w14:paraId="4A95D9ED" w14:textId="77777777" w:rsidR="002A2BEB" w:rsidRDefault="002A2BEB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33D05C7" w14:textId="31D4C4FD" w:rsidR="00340098" w:rsidRDefault="002A2BEB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 than 3 days</w:t>
            </w:r>
          </w:p>
        </w:tc>
        <w:tc>
          <w:tcPr>
            <w:tcW w:w="4405" w:type="dxa"/>
          </w:tcPr>
          <w:p w14:paraId="60F420DC" w14:textId="77777777" w:rsidR="002A2BEB" w:rsidRDefault="002A2BEB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7139149" w14:textId="6A7D38AC" w:rsidR="00340098" w:rsidRDefault="002A2BEB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340098" w14:paraId="6F37BCE2" w14:textId="77777777" w:rsidTr="002A2BEB">
        <w:tc>
          <w:tcPr>
            <w:tcW w:w="3865" w:type="dxa"/>
          </w:tcPr>
          <w:p w14:paraId="3A5DF5CC" w14:textId="77777777" w:rsidR="002A2BEB" w:rsidRDefault="002A2BEB" w:rsidP="00844C8D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87230FC" w14:textId="2A91E72A" w:rsidR="00844C8D" w:rsidRDefault="002A2BEB" w:rsidP="00844C8D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1-14 days</w:t>
            </w:r>
          </w:p>
        </w:tc>
        <w:tc>
          <w:tcPr>
            <w:tcW w:w="4405" w:type="dxa"/>
          </w:tcPr>
          <w:p w14:paraId="5F050F6F" w14:textId="77777777" w:rsidR="00340098" w:rsidRDefault="00340098" w:rsidP="0034009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FCE0F90" w14:textId="78E78113" w:rsidR="003A0728" w:rsidRDefault="002A2BEB" w:rsidP="002A2BEB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  <w:r w:rsidRPr="002A2BEB">
              <w:rPr>
                <w:rFonts w:asciiTheme="minorHAnsi" w:hAnsiTheme="minorHAnsi" w:cstheme="minorHAnsi"/>
                <w:b/>
              </w:rPr>
              <w:t>EXCEPT</w:t>
            </w:r>
            <w:r>
              <w:rPr>
                <w:rFonts w:asciiTheme="minorHAnsi" w:hAnsiTheme="minorHAnsi" w:cstheme="minorHAnsi"/>
              </w:rPr>
              <w:t xml:space="preserve"> first 3 days</w:t>
            </w:r>
          </w:p>
        </w:tc>
      </w:tr>
      <w:tr w:rsidR="002A2BEB" w14:paraId="3F7A1768" w14:textId="77777777" w:rsidTr="002A2BEB">
        <w:trPr>
          <w:trHeight w:val="512"/>
        </w:trPr>
        <w:tc>
          <w:tcPr>
            <w:tcW w:w="3865" w:type="dxa"/>
          </w:tcPr>
          <w:p w14:paraId="0451963A" w14:textId="77777777" w:rsidR="002A2BEB" w:rsidRDefault="002A2BEB" w:rsidP="00844C8D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8A1A38" w14:textId="6E2B416F" w:rsidR="002A2BEB" w:rsidRDefault="002A2BEB" w:rsidP="00844C8D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than 14 days</w:t>
            </w:r>
          </w:p>
        </w:tc>
        <w:tc>
          <w:tcPr>
            <w:tcW w:w="4405" w:type="dxa"/>
          </w:tcPr>
          <w:p w14:paraId="4911DF71" w14:textId="77777777" w:rsidR="002A2BEB" w:rsidRDefault="002A2BEB" w:rsidP="002A2BEB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CBC8C" w14:textId="31B2C957" w:rsidR="002A2BEB" w:rsidRDefault="002A2BEB" w:rsidP="002A2BEB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(Including reimbursement for first 3 days)</w:t>
            </w:r>
          </w:p>
        </w:tc>
      </w:tr>
    </w:tbl>
    <w:p w14:paraId="73990C80" w14:textId="2855EAF7" w:rsidR="00340098" w:rsidRDefault="00340098" w:rsidP="0034009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0323D17D" w14:textId="366839A1" w:rsidR="00635DE3" w:rsidRDefault="00635DE3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Weekend days and holidays are included when counting the number of days off.  Time off does not need to be consecutive but must be confirmed by a doctor’s report.</w:t>
      </w:r>
    </w:p>
    <w:p w14:paraId="577799AC" w14:textId="77777777" w:rsidR="0018715C" w:rsidRDefault="0018715C" w:rsidP="0018715C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1325F1E8" w14:textId="7A884CC5" w:rsidR="00635DE3" w:rsidRDefault="00635DE3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treating medical provider must document time away from work following the date of injury where the employee is totally unable to work, or unable to work a full shift.</w:t>
      </w:r>
    </w:p>
    <w:p w14:paraId="59F6127B" w14:textId="49CE72B5" w:rsidR="0018715C" w:rsidRPr="0018715C" w:rsidRDefault="0018715C" w:rsidP="001871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AB334EC" w14:textId="2F25B6FA" w:rsidR="0018715C" w:rsidRDefault="00635DE3" w:rsidP="0018715C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employee may use available leave to supplement workers’ compensation payments but may </w:t>
      </w:r>
      <w:r w:rsidR="000837A0">
        <w:rPr>
          <w:rFonts w:asciiTheme="minorHAnsi" w:hAnsiTheme="minorHAnsi" w:cstheme="minorHAnsi"/>
        </w:rPr>
        <w:t>not exceed total gross earnings.</w:t>
      </w:r>
    </w:p>
    <w:p w14:paraId="54E96EE2" w14:textId="0B16FF52" w:rsidR="0018715C" w:rsidRPr="0018715C" w:rsidRDefault="0018715C" w:rsidP="001871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514315" w14:textId="4C098AC2" w:rsidR="000837A0" w:rsidRDefault="000837A0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a doctor’s declaration that an employee may return to full duty, occasional absences from work related to the original injury (doctor’s appointments, etc.) will be charged to sick leave </w:t>
      </w:r>
      <w:r w:rsidR="00746270">
        <w:rPr>
          <w:rFonts w:asciiTheme="minorHAnsi" w:hAnsiTheme="minorHAnsi" w:cstheme="minorHAnsi"/>
        </w:rPr>
        <w:t>Employees assigned to light duty are compensated at their regular rate of pay for hours worked.</w:t>
      </w:r>
    </w:p>
    <w:p w14:paraId="6358AFBE" w14:textId="3F10D1CD" w:rsidR="0018715C" w:rsidRPr="0018715C" w:rsidRDefault="0018715C" w:rsidP="001871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752DC91" w14:textId="3AEE4C32" w:rsidR="00AB0FE5" w:rsidRDefault="00AB0FE5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Workers’ compensation fraud, including the filing of a false claim for medical or disability compensation or the exaggeration of the severity of an injury, is a crime punishable by fines and confinement in a state prison.  Any employee who becomes aware of a situation that may constitute workers’ compensation fraud should report it to </w:t>
      </w:r>
      <w:r w:rsidR="00B92A19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Risk Manager immediately. </w:t>
      </w:r>
    </w:p>
    <w:p w14:paraId="6625E89F" w14:textId="07B46039" w:rsidR="0018715C" w:rsidRPr="0018715C" w:rsidRDefault="0018715C" w:rsidP="001871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550B18D" w14:textId="502FC0CB" w:rsidR="00AB0FE5" w:rsidRDefault="00AB0FE5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Employees who have questions or disputes regarding Workers’ Compensation benefits and payments should contact the Risk Manager.  Employees may also request a hearing with the </w:t>
      </w:r>
      <w:r w:rsidR="0094727A">
        <w:rPr>
          <w:rFonts w:asciiTheme="minorHAnsi" w:hAnsiTheme="minorHAnsi" w:cstheme="minorHAnsi"/>
        </w:rPr>
        <w:t>Adjudication</w:t>
      </w:r>
      <w:r>
        <w:rPr>
          <w:rFonts w:asciiTheme="minorHAnsi" w:hAnsiTheme="minorHAnsi" w:cstheme="minorHAnsi"/>
        </w:rPr>
        <w:t xml:space="preserve"> Division of the Utah Labor Commission.</w:t>
      </w:r>
    </w:p>
    <w:p w14:paraId="2FEFDE40" w14:textId="686AB144" w:rsidR="0018715C" w:rsidRPr="0018715C" w:rsidRDefault="0018715C" w:rsidP="001871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256FCDB" w14:textId="365CA4B1" w:rsidR="00AB0FE5" w:rsidRPr="00635DE3" w:rsidRDefault="004C09FF" w:rsidP="00635DE3">
      <w:pPr>
        <w:pStyle w:val="ListParagraph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Employees on Workers’ Compensation may continue existing County insurance </w:t>
      </w:r>
      <w:r w:rsidR="00073FD2">
        <w:rPr>
          <w:rFonts w:asciiTheme="minorHAnsi" w:hAnsiTheme="minorHAnsi" w:cstheme="minorHAnsi"/>
        </w:rPr>
        <w:t>coverage by paying the employee’s portion of the total premium.</w:t>
      </w:r>
    </w:p>
    <w:p w14:paraId="581BCFB7" w14:textId="77777777" w:rsidR="00340098" w:rsidRPr="00340098" w:rsidRDefault="00340098" w:rsidP="00340098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3529B42F" w14:textId="77777777" w:rsidR="00806236" w:rsidRDefault="00806236" w:rsidP="00EA260E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43D499F6" w14:textId="5B541FDB" w:rsidR="00EA260E" w:rsidRDefault="002579FB" w:rsidP="00EA260E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3D5544">
        <w:t>DATED</w:t>
      </w:r>
      <w:r w:rsidR="00EA260E" w:rsidRPr="003D5544">
        <w:t xml:space="preserve"> this </w:t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t xml:space="preserve"> day of </w:t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t>, 20</w:t>
      </w:r>
      <w:r w:rsidR="005A0797">
        <w:t>22</w:t>
      </w:r>
      <w:r w:rsidR="00EA260E" w:rsidRPr="003D5544">
        <w:t>.</w:t>
      </w:r>
      <w:r w:rsidR="00EA260E">
        <w:t xml:space="preserve"> </w:t>
      </w:r>
    </w:p>
    <w:p w14:paraId="4E23446A" w14:textId="77777777" w:rsidR="00EA260E" w:rsidRDefault="00EA260E" w:rsidP="00EA260E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3A046C60" w14:textId="77777777" w:rsidR="00EA260E" w:rsidRDefault="002579FB" w:rsidP="002579FB">
      <w:pPr>
        <w:autoSpaceDE w:val="0"/>
        <w:autoSpaceDN w:val="0"/>
        <w:adjustRightInd w:val="0"/>
        <w:spacing w:after="0" w:line="240" w:lineRule="auto"/>
        <w:ind w:left="5760"/>
      </w:pPr>
      <w:r>
        <w:t>BOARD OF COUNTY COMMISSIONERS OF WEBER COUNTY</w:t>
      </w:r>
      <w:r w:rsidR="00EA260E">
        <w:t>:</w:t>
      </w:r>
    </w:p>
    <w:p w14:paraId="56BE7EDB" w14:textId="77777777" w:rsidR="00EA260E" w:rsidRDefault="00EA260E" w:rsidP="00EA260E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65158B8C" w14:textId="4556E974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</w:pP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>
        <w:tab/>
      </w:r>
      <w:r>
        <w:tab/>
      </w:r>
      <w:r>
        <w:tab/>
      </w:r>
      <w:r w:rsidR="005A0797">
        <w:t>Scott K. Jenkins</w:t>
      </w:r>
      <w:r>
        <w:t>, Chair</w:t>
      </w:r>
    </w:p>
    <w:p w14:paraId="06975A98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777B3FCC" w14:textId="77777777" w:rsidR="002579FB" w:rsidRDefault="00EA260E" w:rsidP="002579FB">
      <w:pPr>
        <w:autoSpaceDE w:val="0"/>
        <w:autoSpaceDN w:val="0"/>
        <w:adjustRightInd w:val="0"/>
        <w:spacing w:after="0" w:line="240" w:lineRule="auto"/>
      </w:pPr>
      <w:r>
        <w:t xml:space="preserve">ATTEST: </w:t>
      </w:r>
    </w:p>
    <w:p w14:paraId="4E4B795B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407B88D3" w14:textId="77777777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CEEA7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Ricky Hatch, CPA</w:t>
      </w:r>
    </w:p>
    <w:p w14:paraId="629C5B00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Weber County Clerk/Auditor</w:t>
      </w:r>
    </w:p>
    <w:p w14:paraId="235C0324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1BF14463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11D9484F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7B6F8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Sarah Swan</w:t>
      </w:r>
    </w:p>
    <w:p w14:paraId="3DF331BE" w14:textId="77777777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Human Resources</w:t>
      </w:r>
    </w:p>
    <w:p w14:paraId="35C82436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5A21EB74" w14:textId="77777777" w:rsidR="002579FB" w:rsidRDefault="00EA260E" w:rsidP="002579FB">
      <w:pPr>
        <w:autoSpaceDE w:val="0"/>
        <w:autoSpaceDN w:val="0"/>
        <w:adjustRightInd w:val="0"/>
        <w:spacing w:after="0" w:line="240" w:lineRule="auto"/>
      </w:pPr>
      <w:r>
        <w:t xml:space="preserve">Approved as to form and legality: </w:t>
      </w:r>
    </w:p>
    <w:p w14:paraId="6252B80D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1A6BAEAE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30190887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68E92D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Courtlan Erickson</w:t>
      </w:r>
      <w:r w:rsidR="00EA260E">
        <w:t xml:space="preserve"> </w:t>
      </w:r>
    </w:p>
    <w:p w14:paraId="12C63DCA" w14:textId="77777777" w:rsidR="00EA260E" w:rsidRPr="002D07F4" w:rsidRDefault="002579FB" w:rsidP="002579FB">
      <w:pPr>
        <w:autoSpaceDE w:val="0"/>
        <w:autoSpaceDN w:val="0"/>
        <w:adjustRightInd w:val="0"/>
        <w:spacing w:after="0" w:line="240" w:lineRule="auto"/>
      </w:pPr>
      <w:r>
        <w:t>Deputy County Attorney</w:t>
      </w:r>
    </w:p>
    <w:sectPr w:rsidR="00EA260E" w:rsidRPr="002D07F4" w:rsidSect="00D72F95">
      <w:headerReference w:type="default" r:id="rId8"/>
      <w:headerReference w:type="first" r:id="rId9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A390" w14:textId="77777777" w:rsidR="00DF7AA6" w:rsidRDefault="00DF7AA6" w:rsidP="00900452">
      <w:pPr>
        <w:spacing w:after="0" w:line="240" w:lineRule="auto"/>
      </w:pPr>
      <w:r>
        <w:separator/>
      </w:r>
    </w:p>
  </w:endnote>
  <w:endnote w:type="continuationSeparator" w:id="0">
    <w:p w14:paraId="16755B81" w14:textId="77777777" w:rsidR="00DF7AA6" w:rsidRDefault="00DF7AA6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A0DA" w14:textId="77777777" w:rsidR="00DF7AA6" w:rsidRDefault="00DF7AA6" w:rsidP="00900452">
      <w:pPr>
        <w:spacing w:after="0" w:line="240" w:lineRule="auto"/>
      </w:pPr>
      <w:r>
        <w:separator/>
      </w:r>
    </w:p>
  </w:footnote>
  <w:footnote w:type="continuationSeparator" w:id="0">
    <w:p w14:paraId="295A54D9" w14:textId="77777777" w:rsidR="00DF7AA6" w:rsidRDefault="00DF7AA6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ED89" w14:textId="40D758FD" w:rsidR="00442DB8" w:rsidRPr="00D72F95" w:rsidRDefault="00442DB8" w:rsidP="00442DB8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17417" wp14:editId="306F6F99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59DEB8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Pr="00D72F95">
      <w:rPr>
        <w:rFonts w:ascii="Arial Black" w:hAnsi="Arial Black"/>
        <w:b/>
        <w:sz w:val="24"/>
        <w:szCs w:val="24"/>
      </w:rPr>
      <w:t>Weber C</w:t>
    </w:r>
    <w:r>
      <w:rPr>
        <w:rFonts w:ascii="Arial Black" w:hAnsi="Arial Black"/>
        <w:b/>
        <w:sz w:val="24"/>
        <w:szCs w:val="24"/>
      </w:rPr>
      <w:t>ounty Human Resources Policy 4-400: Workers’ Compensation</w:t>
    </w:r>
  </w:p>
  <w:p w14:paraId="11442CFF" w14:textId="77777777" w:rsidR="00442DB8" w:rsidRDefault="00442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42164" w14:textId="77777777" w:rsidR="00993CCB" w:rsidRPr="00751C18" w:rsidRDefault="00993CCB" w:rsidP="00993CCB">
    <w:pPr>
      <w:rPr>
        <w:rFonts w:ascii="Arial" w:hAnsi="Arial"/>
        <w:b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DD35" wp14:editId="244018F7">
              <wp:simplePos x="0" y="0"/>
              <wp:positionH relativeFrom="column">
                <wp:posOffset>1589405</wp:posOffset>
              </wp:positionH>
              <wp:positionV relativeFrom="paragraph">
                <wp:posOffset>0</wp:posOffset>
              </wp:positionV>
              <wp:extent cx="4800600" cy="933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194DE" w14:textId="57457F5A" w:rsidR="00993CCB" w:rsidRPr="007432E4" w:rsidRDefault="00993CCB" w:rsidP="00993CCB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 C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ounty Human Resources Policy 4-400</w:t>
                          </w:r>
                        </w:p>
                        <w:p w14:paraId="4098E5C9" w14:textId="77777777" w:rsidR="00993CCB" w:rsidRPr="007432E4" w:rsidRDefault="00993CCB" w:rsidP="00993CCB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Workers’ Compensation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1D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15pt;margin-top:0;width:37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<v:textbox>
                <w:txbxContent>
                  <w:p w14:paraId="3E6194DE" w14:textId="57457F5A" w:rsidR="00993CCB" w:rsidRPr="007432E4" w:rsidRDefault="00993CCB" w:rsidP="00993CCB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7432E4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Weber C</w:t>
                    </w:r>
                    <w: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ounty Human Resources Policy 4-400</w:t>
                    </w:r>
                  </w:p>
                  <w:p w14:paraId="4098E5C9" w14:textId="77777777" w:rsidR="00993CCB" w:rsidRPr="007432E4" w:rsidRDefault="00993CCB" w:rsidP="00993CCB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Workers’ Compensation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i/>
        <w:noProof/>
        <w:sz w:val="28"/>
        <w:szCs w:val="28"/>
      </w:rPr>
      <w:drawing>
        <wp:inline distT="0" distB="0" distL="0" distR="0" wp14:anchorId="4A0A85FC" wp14:editId="10C2EE9D">
          <wp:extent cx="1543050" cy="876300"/>
          <wp:effectExtent l="0" t="0" r="0" b="0"/>
          <wp:docPr id="2" name="Picture 2" descr="E:\Weber County\WeberCount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eber County\WeberCounty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A8261" w14:textId="7568094B" w:rsidR="00457D5E" w:rsidRPr="00873DE5" w:rsidRDefault="00457D5E" w:rsidP="0087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857CF2"/>
    <w:multiLevelType w:val="hybridMultilevel"/>
    <w:tmpl w:val="C9B0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ACF"/>
    <w:multiLevelType w:val="hybridMultilevel"/>
    <w:tmpl w:val="6D360E18"/>
    <w:lvl w:ilvl="0" w:tplc="F9B6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C19C7"/>
    <w:multiLevelType w:val="hybridMultilevel"/>
    <w:tmpl w:val="578E3486"/>
    <w:lvl w:ilvl="0" w:tplc="0908E8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C58DF"/>
    <w:multiLevelType w:val="hybridMultilevel"/>
    <w:tmpl w:val="101447B2"/>
    <w:lvl w:ilvl="0" w:tplc="CFB4CDD2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A20393"/>
    <w:multiLevelType w:val="hybridMultilevel"/>
    <w:tmpl w:val="AA2E1000"/>
    <w:lvl w:ilvl="0" w:tplc="3ABC8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63FE1"/>
    <w:multiLevelType w:val="hybridMultilevel"/>
    <w:tmpl w:val="34203DC4"/>
    <w:lvl w:ilvl="0" w:tplc="8ACAD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3272B6"/>
    <w:multiLevelType w:val="hybridMultilevel"/>
    <w:tmpl w:val="00C6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2563"/>
    <w:multiLevelType w:val="hybridMultilevel"/>
    <w:tmpl w:val="92265F84"/>
    <w:lvl w:ilvl="0" w:tplc="1DF2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BD1B77"/>
    <w:multiLevelType w:val="hybridMultilevel"/>
    <w:tmpl w:val="AFA0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47416"/>
    <w:multiLevelType w:val="hybridMultilevel"/>
    <w:tmpl w:val="38B85E62"/>
    <w:lvl w:ilvl="0" w:tplc="AD562A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0302D"/>
    <w:multiLevelType w:val="hybridMultilevel"/>
    <w:tmpl w:val="37540D74"/>
    <w:lvl w:ilvl="0" w:tplc="B8007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96269"/>
    <w:multiLevelType w:val="hybridMultilevel"/>
    <w:tmpl w:val="52C49156"/>
    <w:lvl w:ilvl="0" w:tplc="C254BEA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6E1A"/>
    <w:multiLevelType w:val="hybridMultilevel"/>
    <w:tmpl w:val="F3C2ED0C"/>
    <w:lvl w:ilvl="0" w:tplc="651C4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B627E8"/>
    <w:multiLevelType w:val="hybridMultilevel"/>
    <w:tmpl w:val="9138B5C8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4DE9058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F0C0FF5"/>
    <w:multiLevelType w:val="hybridMultilevel"/>
    <w:tmpl w:val="A5D0C3A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3E51EBB"/>
    <w:multiLevelType w:val="hybridMultilevel"/>
    <w:tmpl w:val="190A0150"/>
    <w:lvl w:ilvl="0" w:tplc="10BC4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37BA"/>
    <w:multiLevelType w:val="hybridMultilevel"/>
    <w:tmpl w:val="9ABE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52BB1"/>
    <w:multiLevelType w:val="hybridMultilevel"/>
    <w:tmpl w:val="2A74165A"/>
    <w:lvl w:ilvl="0" w:tplc="84D2E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0800EF"/>
    <w:multiLevelType w:val="hybridMultilevel"/>
    <w:tmpl w:val="02862DE0"/>
    <w:lvl w:ilvl="0" w:tplc="2AF2FD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66A46"/>
    <w:multiLevelType w:val="hybridMultilevel"/>
    <w:tmpl w:val="78F6E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C1C1F"/>
    <w:multiLevelType w:val="hybridMultilevel"/>
    <w:tmpl w:val="0E985D80"/>
    <w:lvl w:ilvl="0" w:tplc="BA7EF26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61AD4"/>
    <w:multiLevelType w:val="hybridMultilevel"/>
    <w:tmpl w:val="D84C723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5"/>
  </w:num>
  <w:num w:numId="5">
    <w:abstractNumId w:val="28"/>
  </w:num>
  <w:num w:numId="6">
    <w:abstractNumId w:val="4"/>
  </w:num>
  <w:num w:numId="7">
    <w:abstractNumId w:val="14"/>
  </w:num>
  <w:num w:numId="8">
    <w:abstractNumId w:val="19"/>
  </w:num>
  <w:num w:numId="9">
    <w:abstractNumId w:val="25"/>
  </w:num>
  <w:num w:numId="10">
    <w:abstractNumId w:val="24"/>
  </w:num>
  <w:num w:numId="11">
    <w:abstractNumId w:val="1"/>
  </w:num>
  <w:num w:numId="12">
    <w:abstractNumId w:val="13"/>
  </w:num>
  <w:num w:numId="13">
    <w:abstractNumId w:val="7"/>
  </w:num>
  <w:num w:numId="14">
    <w:abstractNumId w:val="23"/>
  </w:num>
  <w:num w:numId="15">
    <w:abstractNumId w:val="2"/>
  </w:num>
  <w:num w:numId="16">
    <w:abstractNumId w:val="8"/>
  </w:num>
  <w:num w:numId="17">
    <w:abstractNumId w:val="10"/>
  </w:num>
  <w:num w:numId="18">
    <w:abstractNumId w:val="17"/>
  </w:num>
  <w:num w:numId="19">
    <w:abstractNumId w:val="22"/>
  </w:num>
  <w:num w:numId="20">
    <w:abstractNumId w:val="26"/>
  </w:num>
  <w:num w:numId="21">
    <w:abstractNumId w:val="12"/>
  </w:num>
  <w:num w:numId="22">
    <w:abstractNumId w:val="21"/>
  </w:num>
  <w:num w:numId="23">
    <w:abstractNumId w:val="20"/>
  </w:num>
  <w:num w:numId="24">
    <w:abstractNumId w:val="11"/>
  </w:num>
  <w:num w:numId="25">
    <w:abstractNumId w:val="27"/>
  </w:num>
  <w:num w:numId="26">
    <w:abstractNumId w:val="9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86"/>
    <w:rsid w:val="000043AD"/>
    <w:rsid w:val="00053998"/>
    <w:rsid w:val="000654FD"/>
    <w:rsid w:val="00073FD2"/>
    <w:rsid w:val="000760D4"/>
    <w:rsid w:val="000837A0"/>
    <w:rsid w:val="00086871"/>
    <w:rsid w:val="00092C21"/>
    <w:rsid w:val="000A747D"/>
    <w:rsid w:val="000C1227"/>
    <w:rsid w:val="000C631E"/>
    <w:rsid w:val="000D0704"/>
    <w:rsid w:val="000D63E3"/>
    <w:rsid w:val="000D7207"/>
    <w:rsid w:val="000E0403"/>
    <w:rsid w:val="000F0BD5"/>
    <w:rsid w:val="000F0E97"/>
    <w:rsid w:val="00122165"/>
    <w:rsid w:val="001418FB"/>
    <w:rsid w:val="001463D1"/>
    <w:rsid w:val="00156604"/>
    <w:rsid w:val="00163DEF"/>
    <w:rsid w:val="00167DA4"/>
    <w:rsid w:val="00170B5E"/>
    <w:rsid w:val="00182D24"/>
    <w:rsid w:val="00184E1C"/>
    <w:rsid w:val="0018715C"/>
    <w:rsid w:val="00195CF7"/>
    <w:rsid w:val="001A3C1D"/>
    <w:rsid w:val="001A6B76"/>
    <w:rsid w:val="001A7D50"/>
    <w:rsid w:val="001B45CC"/>
    <w:rsid w:val="001D0B81"/>
    <w:rsid w:val="001D13A9"/>
    <w:rsid w:val="001D3A35"/>
    <w:rsid w:val="001E33B1"/>
    <w:rsid w:val="001E46FB"/>
    <w:rsid w:val="001F5D23"/>
    <w:rsid w:val="001F6C4B"/>
    <w:rsid w:val="00201586"/>
    <w:rsid w:val="00240EC5"/>
    <w:rsid w:val="002579FB"/>
    <w:rsid w:val="00266933"/>
    <w:rsid w:val="002673FE"/>
    <w:rsid w:val="0027177A"/>
    <w:rsid w:val="0027298E"/>
    <w:rsid w:val="00281B21"/>
    <w:rsid w:val="00295A6F"/>
    <w:rsid w:val="002A2BEB"/>
    <w:rsid w:val="002A47EC"/>
    <w:rsid w:val="002A7719"/>
    <w:rsid w:val="002C1A6C"/>
    <w:rsid w:val="002C717E"/>
    <w:rsid w:val="002D07F4"/>
    <w:rsid w:val="00302619"/>
    <w:rsid w:val="00325B04"/>
    <w:rsid w:val="00340098"/>
    <w:rsid w:val="00342104"/>
    <w:rsid w:val="00342C5C"/>
    <w:rsid w:val="0035006D"/>
    <w:rsid w:val="0035051E"/>
    <w:rsid w:val="00356D0A"/>
    <w:rsid w:val="00362332"/>
    <w:rsid w:val="00365FE6"/>
    <w:rsid w:val="0037327A"/>
    <w:rsid w:val="00377162"/>
    <w:rsid w:val="0037766B"/>
    <w:rsid w:val="00380179"/>
    <w:rsid w:val="00382613"/>
    <w:rsid w:val="00391074"/>
    <w:rsid w:val="003A0728"/>
    <w:rsid w:val="003B0631"/>
    <w:rsid w:val="003B79B5"/>
    <w:rsid w:val="003C246A"/>
    <w:rsid w:val="003D5544"/>
    <w:rsid w:val="0041060D"/>
    <w:rsid w:val="00413458"/>
    <w:rsid w:val="00425077"/>
    <w:rsid w:val="00442DB8"/>
    <w:rsid w:val="00457D5E"/>
    <w:rsid w:val="00460ADA"/>
    <w:rsid w:val="00464049"/>
    <w:rsid w:val="00466737"/>
    <w:rsid w:val="00467731"/>
    <w:rsid w:val="004742FA"/>
    <w:rsid w:val="00474EAC"/>
    <w:rsid w:val="0048761F"/>
    <w:rsid w:val="004907BD"/>
    <w:rsid w:val="004B789B"/>
    <w:rsid w:val="004C09FF"/>
    <w:rsid w:val="004C2EAA"/>
    <w:rsid w:val="004C5A8E"/>
    <w:rsid w:val="004C7856"/>
    <w:rsid w:val="004E4CF0"/>
    <w:rsid w:val="00520803"/>
    <w:rsid w:val="00526871"/>
    <w:rsid w:val="00527258"/>
    <w:rsid w:val="00527E36"/>
    <w:rsid w:val="00536F48"/>
    <w:rsid w:val="00537999"/>
    <w:rsid w:val="005426DE"/>
    <w:rsid w:val="005512C6"/>
    <w:rsid w:val="0055531F"/>
    <w:rsid w:val="00555993"/>
    <w:rsid w:val="00565B9F"/>
    <w:rsid w:val="00571D39"/>
    <w:rsid w:val="00571DB1"/>
    <w:rsid w:val="00572CC6"/>
    <w:rsid w:val="005829E0"/>
    <w:rsid w:val="00584231"/>
    <w:rsid w:val="00586330"/>
    <w:rsid w:val="005A0797"/>
    <w:rsid w:val="005A1406"/>
    <w:rsid w:val="005D4384"/>
    <w:rsid w:val="005E244D"/>
    <w:rsid w:val="005F2A32"/>
    <w:rsid w:val="005F4223"/>
    <w:rsid w:val="00635DE3"/>
    <w:rsid w:val="00644A79"/>
    <w:rsid w:val="00645007"/>
    <w:rsid w:val="00651097"/>
    <w:rsid w:val="00673816"/>
    <w:rsid w:val="00691661"/>
    <w:rsid w:val="00693B86"/>
    <w:rsid w:val="006A647B"/>
    <w:rsid w:val="006B7E9D"/>
    <w:rsid w:val="006C489C"/>
    <w:rsid w:val="006D6BA5"/>
    <w:rsid w:val="006F14D0"/>
    <w:rsid w:val="006F34C6"/>
    <w:rsid w:val="006F679C"/>
    <w:rsid w:val="0070440D"/>
    <w:rsid w:val="00717D3A"/>
    <w:rsid w:val="00727F94"/>
    <w:rsid w:val="007432E4"/>
    <w:rsid w:val="00746270"/>
    <w:rsid w:val="00751C18"/>
    <w:rsid w:val="007622E4"/>
    <w:rsid w:val="007622F5"/>
    <w:rsid w:val="0076395E"/>
    <w:rsid w:val="007701F0"/>
    <w:rsid w:val="007A4A7B"/>
    <w:rsid w:val="007B4427"/>
    <w:rsid w:val="007D37CB"/>
    <w:rsid w:val="007E37F0"/>
    <w:rsid w:val="007F6DE5"/>
    <w:rsid w:val="00801797"/>
    <w:rsid w:val="00806236"/>
    <w:rsid w:val="0081274B"/>
    <w:rsid w:val="00822A1C"/>
    <w:rsid w:val="00836366"/>
    <w:rsid w:val="00844C8D"/>
    <w:rsid w:val="00854F46"/>
    <w:rsid w:val="0085572E"/>
    <w:rsid w:val="008712A6"/>
    <w:rsid w:val="00873DE5"/>
    <w:rsid w:val="0088044D"/>
    <w:rsid w:val="00895634"/>
    <w:rsid w:val="008A3050"/>
    <w:rsid w:val="008A32DA"/>
    <w:rsid w:val="008B3771"/>
    <w:rsid w:val="008B6973"/>
    <w:rsid w:val="008B6A92"/>
    <w:rsid w:val="008C1738"/>
    <w:rsid w:val="008D7F69"/>
    <w:rsid w:val="00900452"/>
    <w:rsid w:val="00905B17"/>
    <w:rsid w:val="0090739B"/>
    <w:rsid w:val="00912182"/>
    <w:rsid w:val="00916109"/>
    <w:rsid w:val="00920B20"/>
    <w:rsid w:val="00921FD8"/>
    <w:rsid w:val="00932B29"/>
    <w:rsid w:val="00935946"/>
    <w:rsid w:val="009435C1"/>
    <w:rsid w:val="0094727A"/>
    <w:rsid w:val="0098381D"/>
    <w:rsid w:val="00993CCB"/>
    <w:rsid w:val="009B04A4"/>
    <w:rsid w:val="009B04FF"/>
    <w:rsid w:val="009B2B9F"/>
    <w:rsid w:val="009B593E"/>
    <w:rsid w:val="009B5D63"/>
    <w:rsid w:val="009C3837"/>
    <w:rsid w:val="009C3F72"/>
    <w:rsid w:val="009E01F9"/>
    <w:rsid w:val="009E1D0A"/>
    <w:rsid w:val="009E4FF7"/>
    <w:rsid w:val="00A10103"/>
    <w:rsid w:val="00A166E3"/>
    <w:rsid w:val="00A253D9"/>
    <w:rsid w:val="00A336AC"/>
    <w:rsid w:val="00A357AB"/>
    <w:rsid w:val="00A37148"/>
    <w:rsid w:val="00A3782E"/>
    <w:rsid w:val="00A44A1B"/>
    <w:rsid w:val="00A51A69"/>
    <w:rsid w:val="00A52C5E"/>
    <w:rsid w:val="00A52DEE"/>
    <w:rsid w:val="00A63AD2"/>
    <w:rsid w:val="00A67D05"/>
    <w:rsid w:val="00A828BC"/>
    <w:rsid w:val="00A949BF"/>
    <w:rsid w:val="00AA1E53"/>
    <w:rsid w:val="00AB0FE5"/>
    <w:rsid w:val="00AB17EA"/>
    <w:rsid w:val="00AC193C"/>
    <w:rsid w:val="00AC1A7A"/>
    <w:rsid w:val="00AC2BFB"/>
    <w:rsid w:val="00AE0541"/>
    <w:rsid w:val="00AE728C"/>
    <w:rsid w:val="00B0383B"/>
    <w:rsid w:val="00B047BB"/>
    <w:rsid w:val="00B27D82"/>
    <w:rsid w:val="00B32D1E"/>
    <w:rsid w:val="00B36835"/>
    <w:rsid w:val="00B47B7C"/>
    <w:rsid w:val="00B52B88"/>
    <w:rsid w:val="00B5782E"/>
    <w:rsid w:val="00B6229D"/>
    <w:rsid w:val="00B712D2"/>
    <w:rsid w:val="00B841B1"/>
    <w:rsid w:val="00B8595F"/>
    <w:rsid w:val="00B86362"/>
    <w:rsid w:val="00B92A19"/>
    <w:rsid w:val="00B9508C"/>
    <w:rsid w:val="00B96FE2"/>
    <w:rsid w:val="00BA2378"/>
    <w:rsid w:val="00BA48D7"/>
    <w:rsid w:val="00BB0DCD"/>
    <w:rsid w:val="00BC6E61"/>
    <w:rsid w:val="00BF7736"/>
    <w:rsid w:val="00C02F81"/>
    <w:rsid w:val="00C05733"/>
    <w:rsid w:val="00C10E84"/>
    <w:rsid w:val="00C5013C"/>
    <w:rsid w:val="00C554A1"/>
    <w:rsid w:val="00C74284"/>
    <w:rsid w:val="00C74CCC"/>
    <w:rsid w:val="00C9363F"/>
    <w:rsid w:val="00CA160C"/>
    <w:rsid w:val="00CE3E60"/>
    <w:rsid w:val="00D054AC"/>
    <w:rsid w:val="00D25F7F"/>
    <w:rsid w:val="00D45983"/>
    <w:rsid w:val="00D61567"/>
    <w:rsid w:val="00D643AF"/>
    <w:rsid w:val="00D70FFD"/>
    <w:rsid w:val="00D72F95"/>
    <w:rsid w:val="00D734BA"/>
    <w:rsid w:val="00D76081"/>
    <w:rsid w:val="00D81F8D"/>
    <w:rsid w:val="00D82265"/>
    <w:rsid w:val="00DA30AD"/>
    <w:rsid w:val="00DA6CE1"/>
    <w:rsid w:val="00DB1101"/>
    <w:rsid w:val="00DC6DA9"/>
    <w:rsid w:val="00DF1EA0"/>
    <w:rsid w:val="00DF7AA6"/>
    <w:rsid w:val="00E046E6"/>
    <w:rsid w:val="00E16FB7"/>
    <w:rsid w:val="00E23F7B"/>
    <w:rsid w:val="00E35386"/>
    <w:rsid w:val="00E746FA"/>
    <w:rsid w:val="00E87D30"/>
    <w:rsid w:val="00E92280"/>
    <w:rsid w:val="00EA260E"/>
    <w:rsid w:val="00EC7F02"/>
    <w:rsid w:val="00ED0CE9"/>
    <w:rsid w:val="00EE273C"/>
    <w:rsid w:val="00EF370B"/>
    <w:rsid w:val="00F23C8C"/>
    <w:rsid w:val="00F24684"/>
    <w:rsid w:val="00F263E6"/>
    <w:rsid w:val="00F30669"/>
    <w:rsid w:val="00F317DF"/>
    <w:rsid w:val="00F40B41"/>
    <w:rsid w:val="00F42230"/>
    <w:rsid w:val="00F455E5"/>
    <w:rsid w:val="00F55920"/>
    <w:rsid w:val="00F80E57"/>
    <w:rsid w:val="00F97741"/>
    <w:rsid w:val="00FA28D4"/>
    <w:rsid w:val="00FB6219"/>
    <w:rsid w:val="00FD7AC1"/>
    <w:rsid w:val="00FE3F6F"/>
    <w:rsid w:val="00FF1554"/>
    <w:rsid w:val="00FF41F2"/>
    <w:rsid w:val="00FF4AED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2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E6"/>
    <w:rPr>
      <w:b/>
      <w:bCs/>
      <w:sz w:val="20"/>
      <w:szCs w:val="20"/>
    </w:rPr>
  </w:style>
  <w:style w:type="table" w:styleId="TableGrid">
    <w:name w:val="Table Grid"/>
    <w:basedOn w:val="TableNormal"/>
    <w:locked/>
    <w:rsid w:val="0034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3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24DD-ACAF-4AC3-9FAD-A3646774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2018-08-28T19:05:00Z</dcterms:created>
  <dcterms:modified xsi:type="dcterms:W3CDTF">2022-04-06T19:28:00Z</dcterms:modified>
  <cp:contentStatus/>
</cp:coreProperties>
</file>